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3D" w:rsidRPr="007A6321" w:rsidRDefault="0034083D" w:rsidP="009D531B">
      <w:pPr>
        <w:rPr>
          <w:rFonts w:ascii="Calibri" w:hAnsi="Calibri" w:cs="Calibri"/>
        </w:rPr>
      </w:pPr>
    </w:p>
    <w:p w:rsidR="00CE24DC" w:rsidRPr="007A6321" w:rsidRDefault="007A6321" w:rsidP="007A6321">
      <w:pPr>
        <w:tabs>
          <w:tab w:val="left" w:pos="1701"/>
          <w:tab w:val="right" w:leader="underscore" w:pos="4536"/>
        </w:tabs>
        <w:rPr>
          <w:rFonts w:ascii="Calibri" w:hAnsi="Calibri" w:cs="Calibri"/>
          <w:sz w:val="24"/>
          <w:szCs w:val="24"/>
        </w:rPr>
      </w:pPr>
      <w:r w:rsidRPr="007A6321">
        <w:rPr>
          <w:rFonts w:ascii="Calibri" w:hAnsi="Calibri" w:cs="Calibri"/>
          <w:sz w:val="24"/>
          <w:szCs w:val="24"/>
        </w:rPr>
        <w:t>D</w:t>
      </w:r>
      <w:r w:rsidR="00CE24DC" w:rsidRPr="007A6321">
        <w:rPr>
          <w:rFonts w:ascii="Calibri" w:hAnsi="Calibri" w:cs="Calibri"/>
          <w:sz w:val="24"/>
          <w:szCs w:val="24"/>
        </w:rPr>
        <w:t>ate of this list:</w:t>
      </w:r>
      <w:r w:rsidRPr="007A6321">
        <w:rPr>
          <w:rFonts w:ascii="Calibri" w:hAnsi="Calibri" w:cs="Calibri"/>
          <w:sz w:val="24"/>
          <w:szCs w:val="24"/>
        </w:rPr>
        <w:tab/>
      </w:r>
      <w:r w:rsidRPr="007A6321">
        <w:rPr>
          <w:rFonts w:ascii="Calibri" w:hAnsi="Calibri" w:cs="Calibri"/>
          <w:sz w:val="24"/>
          <w:szCs w:val="24"/>
        </w:rPr>
        <w:tab/>
      </w:r>
    </w:p>
    <w:p w:rsidR="007A6321" w:rsidRPr="007A6321" w:rsidRDefault="007A6321" w:rsidP="007A6321">
      <w:pPr>
        <w:tabs>
          <w:tab w:val="left" w:pos="1701"/>
          <w:tab w:val="right" w:leader="underscore" w:pos="4536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:rsidR="00CE24DC" w:rsidRPr="007A6321" w:rsidRDefault="00CE24DC" w:rsidP="007A632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A6321">
        <w:rPr>
          <w:rFonts w:ascii="Calibri" w:hAnsi="Calibri" w:cs="Calibri"/>
          <w:b/>
          <w:sz w:val="24"/>
          <w:szCs w:val="24"/>
        </w:rPr>
        <w:t>Save the updated list to</w:t>
      </w:r>
      <w:r w:rsidR="007A6321">
        <w:rPr>
          <w:rFonts w:ascii="Calibri" w:hAnsi="Calibri" w:cs="Calibri"/>
          <w:b/>
          <w:sz w:val="24"/>
          <w:szCs w:val="24"/>
        </w:rPr>
        <w:t>:</w:t>
      </w:r>
      <w:r w:rsidRPr="007A6321">
        <w:rPr>
          <w:rFonts w:ascii="Calibri" w:hAnsi="Calibri" w:cs="Calibri"/>
          <w:b/>
          <w:sz w:val="24"/>
          <w:szCs w:val="24"/>
        </w:rPr>
        <w:t xml:space="preserve"> K / OHS… / Code Red Day High Risk Participants</w:t>
      </w:r>
    </w:p>
    <w:p w:rsidR="007A6321" w:rsidRPr="007A6321" w:rsidRDefault="007A6321" w:rsidP="00CE24DC">
      <w:pPr>
        <w:rPr>
          <w:rFonts w:ascii="Calibri" w:hAnsi="Calibri" w:cs="Calibri"/>
        </w:rPr>
      </w:pPr>
    </w:p>
    <w:p w:rsidR="00CE24DC" w:rsidRPr="007A6321" w:rsidRDefault="00CE24DC" w:rsidP="00CE24DC">
      <w:pPr>
        <w:rPr>
          <w:rFonts w:ascii="Calibri" w:hAnsi="Calibri" w:cs="Calibri"/>
        </w:rPr>
      </w:pPr>
      <w:r w:rsidRPr="007A6321">
        <w:rPr>
          <w:rFonts w:ascii="Calibri" w:hAnsi="Calibri" w:cs="Calibri"/>
        </w:rPr>
        <w:t>The following participants live outside the boundaries of Portland or Heywood and are therefore considered to live in high fire danger areas.</w:t>
      </w:r>
    </w:p>
    <w:p w:rsidR="00CE24DC" w:rsidRPr="007A6321" w:rsidRDefault="00CE24DC" w:rsidP="00CE24DC">
      <w:pPr>
        <w:rPr>
          <w:rFonts w:ascii="Calibri" w:hAnsi="Calibri" w:cs="Calibri"/>
        </w:rPr>
      </w:pPr>
      <w:r w:rsidRPr="007A6321">
        <w:rPr>
          <w:rFonts w:ascii="Calibri" w:hAnsi="Calibri" w:cs="Calibri"/>
        </w:rPr>
        <w:t xml:space="preserve">On Code Red Days, </w:t>
      </w:r>
      <w:proofErr w:type="spellStart"/>
      <w:r w:rsidRPr="007A6321">
        <w:rPr>
          <w:rFonts w:ascii="Calibri" w:hAnsi="Calibri" w:cs="Calibri"/>
        </w:rPr>
        <w:t>Kyeema’s</w:t>
      </w:r>
      <w:proofErr w:type="spellEnd"/>
      <w:r w:rsidRPr="007A6321">
        <w:rPr>
          <w:rFonts w:ascii="Calibri" w:hAnsi="Calibri" w:cs="Calibri"/>
        </w:rPr>
        <w:t xml:space="preserve"> procedure is not to provide support to anyone in a high fire risk area. </w:t>
      </w:r>
    </w:p>
    <w:p w:rsidR="00CE24DC" w:rsidRPr="007A6321" w:rsidRDefault="00CE24DC" w:rsidP="00CE24DC">
      <w:pPr>
        <w:rPr>
          <w:rFonts w:ascii="Calibri" w:hAnsi="Calibri" w:cs="Calibri"/>
        </w:rPr>
      </w:pPr>
      <w:r w:rsidRPr="007A6321">
        <w:rPr>
          <w:rFonts w:ascii="Calibri" w:hAnsi="Calibri" w:cs="Calibri"/>
        </w:rPr>
        <w:t xml:space="preserve">Some people have family members who can support them temporarily. </w:t>
      </w:r>
    </w:p>
    <w:p w:rsidR="00CE24DC" w:rsidRPr="007A6321" w:rsidRDefault="00CE24DC" w:rsidP="00CE24DC">
      <w:pPr>
        <w:rPr>
          <w:rFonts w:ascii="Calibri" w:hAnsi="Calibri" w:cs="Calibri"/>
        </w:rPr>
      </w:pPr>
      <w:r w:rsidRPr="007A6321">
        <w:rPr>
          <w:rFonts w:ascii="Calibri" w:hAnsi="Calibri" w:cs="Calibri"/>
        </w:rPr>
        <w:t xml:space="preserve">We have a responsibility to communicate with high risk individuals who were rostered to receive support on a Code Red Day, to ensure they have an alternative plan in place. If not, a plan could include: </w:t>
      </w:r>
    </w:p>
    <w:p w:rsidR="00CE24DC" w:rsidRPr="007A6321" w:rsidRDefault="00CE24DC" w:rsidP="007A6321">
      <w:pPr>
        <w:tabs>
          <w:tab w:val="left" w:pos="284"/>
        </w:tabs>
        <w:rPr>
          <w:rFonts w:ascii="Calibri" w:hAnsi="Calibri" w:cs="Calibri"/>
        </w:rPr>
      </w:pPr>
      <w:r w:rsidRPr="007A6321">
        <w:rPr>
          <w:rFonts w:ascii="Calibri" w:hAnsi="Calibri" w:cs="Calibri"/>
        </w:rPr>
        <w:t xml:space="preserve">- </w:t>
      </w:r>
      <w:r w:rsidR="007A6321" w:rsidRPr="007A6321">
        <w:rPr>
          <w:rFonts w:ascii="Calibri" w:hAnsi="Calibri" w:cs="Calibri"/>
        </w:rPr>
        <w:tab/>
        <w:t>S</w:t>
      </w:r>
      <w:r w:rsidRPr="007A6321">
        <w:rPr>
          <w:rFonts w:ascii="Calibri" w:hAnsi="Calibri" w:cs="Calibri"/>
        </w:rPr>
        <w:t>upporting them to stay in safer accommodation (</w:t>
      </w:r>
      <w:proofErr w:type="spellStart"/>
      <w:r w:rsidRPr="007A6321">
        <w:rPr>
          <w:rFonts w:ascii="Calibri" w:hAnsi="Calibri" w:cs="Calibri"/>
        </w:rPr>
        <w:t>Ameeyk</w:t>
      </w:r>
      <w:proofErr w:type="spellEnd"/>
      <w:r w:rsidRPr="007A6321">
        <w:rPr>
          <w:rFonts w:ascii="Calibri" w:hAnsi="Calibri" w:cs="Calibri"/>
        </w:rPr>
        <w:t xml:space="preserve"> House a possible option)</w:t>
      </w:r>
    </w:p>
    <w:p w:rsidR="00CE24DC" w:rsidRPr="007A6321" w:rsidRDefault="007A6321" w:rsidP="007A6321">
      <w:pPr>
        <w:tabs>
          <w:tab w:val="left" w:pos="284"/>
        </w:tabs>
        <w:ind w:left="284" w:hanging="284"/>
        <w:rPr>
          <w:rFonts w:ascii="Calibri" w:hAnsi="Calibri" w:cs="Calibri"/>
        </w:rPr>
      </w:pPr>
      <w:r w:rsidRPr="007A6321">
        <w:rPr>
          <w:rFonts w:ascii="Calibri" w:hAnsi="Calibri" w:cs="Calibri"/>
        </w:rPr>
        <w:t>-</w:t>
      </w:r>
      <w:r w:rsidRPr="007A6321">
        <w:rPr>
          <w:rFonts w:ascii="Calibri" w:hAnsi="Calibri" w:cs="Calibri"/>
        </w:rPr>
        <w:tab/>
        <w:t xml:space="preserve">Help </w:t>
      </w:r>
      <w:r w:rsidR="00CE24DC" w:rsidRPr="007A6321">
        <w:rPr>
          <w:rFonts w:ascii="Calibri" w:hAnsi="Calibri" w:cs="Calibri"/>
        </w:rPr>
        <w:t>them prepare to stay in place with adequate food and</w:t>
      </w:r>
      <w:bookmarkStart w:id="0" w:name="_GoBack"/>
      <w:bookmarkEnd w:id="0"/>
      <w:r w:rsidR="00CE24DC" w:rsidRPr="007A6321">
        <w:rPr>
          <w:rFonts w:ascii="Calibri" w:hAnsi="Calibri" w:cs="Calibri"/>
        </w:rPr>
        <w:t xml:space="preserve"> water if this is their choice. Then Kyeema </w:t>
      </w:r>
      <w:proofErr w:type="gramStart"/>
      <w:r w:rsidR="00CE24DC" w:rsidRPr="007A6321">
        <w:rPr>
          <w:rFonts w:ascii="Calibri" w:hAnsi="Calibri" w:cs="Calibri"/>
        </w:rPr>
        <w:t>staff to notify authorities such as police and CFA that the participant has decided to</w:t>
      </w:r>
      <w:r>
        <w:rPr>
          <w:rFonts w:ascii="Calibri" w:hAnsi="Calibri" w:cs="Calibri"/>
        </w:rPr>
        <w:t xml:space="preserve"> </w:t>
      </w:r>
      <w:r w:rsidR="00CE24DC" w:rsidRPr="007A6321">
        <w:rPr>
          <w:rFonts w:ascii="Calibri" w:hAnsi="Calibri" w:cs="Calibri"/>
        </w:rPr>
        <w:t>remain</w:t>
      </w:r>
      <w:proofErr w:type="gramEnd"/>
      <w:r w:rsidR="00CE24DC" w:rsidRPr="007A6321">
        <w:rPr>
          <w:rFonts w:ascii="Calibri" w:hAnsi="Calibri" w:cs="Calibri"/>
        </w:rPr>
        <w:t xml:space="preserve"> at home but should be treated as a Vulnerable Person according to their guidelines.</w:t>
      </w:r>
    </w:p>
    <w:p w:rsidR="00CE24DC" w:rsidRPr="007A6321" w:rsidRDefault="00CE24DC" w:rsidP="00CE24DC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2245"/>
      </w:tblGrid>
      <w:tr w:rsidR="00CE24DC" w:rsidRPr="007A6321" w:rsidTr="007A6321">
        <w:tc>
          <w:tcPr>
            <w:tcW w:w="2802" w:type="dxa"/>
          </w:tcPr>
          <w:p w:rsidR="00CE24DC" w:rsidRPr="007A6321" w:rsidRDefault="00CE24DC" w:rsidP="00914C98">
            <w:pPr>
              <w:rPr>
                <w:rFonts w:ascii="Calibri" w:hAnsi="Calibri" w:cs="Calibri"/>
                <w:b/>
              </w:rPr>
            </w:pPr>
            <w:r w:rsidRPr="007A6321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3969" w:type="dxa"/>
          </w:tcPr>
          <w:p w:rsidR="00CE24DC" w:rsidRPr="007A6321" w:rsidRDefault="00CE24DC" w:rsidP="00914C98">
            <w:pPr>
              <w:rPr>
                <w:rFonts w:ascii="Calibri" w:hAnsi="Calibri" w:cs="Calibri"/>
                <w:b/>
              </w:rPr>
            </w:pPr>
            <w:r w:rsidRPr="007A6321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2245" w:type="dxa"/>
          </w:tcPr>
          <w:p w:rsidR="00CE24DC" w:rsidRPr="007A6321" w:rsidRDefault="00CE24DC" w:rsidP="00914C98">
            <w:pPr>
              <w:rPr>
                <w:rFonts w:ascii="Calibri" w:hAnsi="Calibri" w:cs="Calibri"/>
                <w:b/>
              </w:rPr>
            </w:pPr>
            <w:r w:rsidRPr="007A6321">
              <w:rPr>
                <w:rFonts w:ascii="Calibri" w:hAnsi="Calibri" w:cs="Calibri"/>
                <w:b/>
              </w:rPr>
              <w:t>Phone</w:t>
            </w:r>
            <w:r w:rsidR="007A6321">
              <w:rPr>
                <w:rFonts w:ascii="Calibri" w:hAnsi="Calibri" w:cs="Calibri"/>
                <w:b/>
              </w:rPr>
              <w:t xml:space="preserve"> N</w:t>
            </w:r>
            <w:r w:rsidRPr="007A6321">
              <w:rPr>
                <w:rFonts w:ascii="Calibri" w:hAnsi="Calibri" w:cs="Calibri"/>
                <w:b/>
              </w:rPr>
              <w:t>umber</w:t>
            </w:r>
          </w:p>
        </w:tc>
      </w:tr>
      <w:tr w:rsidR="00CE24DC" w:rsidRPr="007A6321" w:rsidTr="007A6321">
        <w:trPr>
          <w:trHeight w:val="397"/>
        </w:trPr>
        <w:tc>
          <w:tcPr>
            <w:tcW w:w="2802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</w:tr>
      <w:tr w:rsidR="00CE24DC" w:rsidRPr="007A6321" w:rsidTr="007A6321">
        <w:trPr>
          <w:trHeight w:val="397"/>
        </w:trPr>
        <w:tc>
          <w:tcPr>
            <w:tcW w:w="2802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</w:tr>
      <w:tr w:rsidR="00CE24DC" w:rsidRPr="007A6321" w:rsidTr="007A6321">
        <w:trPr>
          <w:trHeight w:val="397"/>
        </w:trPr>
        <w:tc>
          <w:tcPr>
            <w:tcW w:w="2802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</w:tr>
      <w:tr w:rsidR="00CE24DC" w:rsidRPr="007A6321" w:rsidTr="007A6321">
        <w:trPr>
          <w:trHeight w:val="397"/>
        </w:trPr>
        <w:tc>
          <w:tcPr>
            <w:tcW w:w="2802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:rsidR="00CE24DC" w:rsidRPr="007A6321" w:rsidRDefault="00CE24DC" w:rsidP="00914C98">
            <w:pPr>
              <w:rPr>
                <w:rFonts w:ascii="Calibri" w:hAnsi="Calibri" w:cs="Calibri"/>
              </w:rPr>
            </w:pPr>
          </w:p>
        </w:tc>
      </w:tr>
    </w:tbl>
    <w:p w:rsidR="00CE24DC" w:rsidRPr="007A6321" w:rsidRDefault="00CE24DC" w:rsidP="00CE24DC">
      <w:pPr>
        <w:rPr>
          <w:rFonts w:ascii="Calibri" w:hAnsi="Calibri" w:cs="Calibri"/>
        </w:rPr>
      </w:pPr>
    </w:p>
    <w:p w:rsidR="00CE24DC" w:rsidRPr="007A6321" w:rsidRDefault="00CE24DC" w:rsidP="00CE24DC">
      <w:pPr>
        <w:rPr>
          <w:rFonts w:ascii="Calibri" w:hAnsi="Calibri" w:cs="Calibri"/>
        </w:rPr>
      </w:pPr>
    </w:p>
    <w:p w:rsidR="00CE24DC" w:rsidRPr="007A6321" w:rsidRDefault="00CE24DC" w:rsidP="00CE24DC">
      <w:pPr>
        <w:rPr>
          <w:rFonts w:ascii="Calibri" w:hAnsi="Calibri" w:cs="Calibri"/>
        </w:rPr>
      </w:pPr>
    </w:p>
    <w:p w:rsidR="00CE24DC" w:rsidRPr="007A6321" w:rsidRDefault="00CE24DC" w:rsidP="00CE24DC">
      <w:pPr>
        <w:rPr>
          <w:rFonts w:ascii="Calibri" w:hAnsi="Calibri" w:cs="Calibri"/>
        </w:rPr>
      </w:pPr>
    </w:p>
    <w:p w:rsidR="00CE24DC" w:rsidRPr="007A6321" w:rsidRDefault="00CE24DC" w:rsidP="009D531B">
      <w:pPr>
        <w:rPr>
          <w:rFonts w:ascii="Calibri" w:hAnsi="Calibri" w:cs="Calibri"/>
        </w:rPr>
      </w:pPr>
    </w:p>
    <w:sectPr w:rsidR="00CE24DC" w:rsidRPr="007A632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7A6321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SF-73 Code Red Day High Risk Participant</w:t>
    </w:r>
    <w:r w:rsidR="00961840">
      <w:rPr>
        <w:rFonts w:ascii="Book Antiqua" w:hAnsi="Book Antiqua" w:cs="Arial"/>
        <w:sz w:val="18"/>
        <w:szCs w:val="18"/>
      </w:rPr>
      <w:t>s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C6A1C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C6A1C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6E3086">
      <w:rPr>
        <w:rStyle w:val="PageNumber"/>
        <w:rFonts w:ascii="Book Antiqua" w:hAnsi="Book Antiqua"/>
        <w:sz w:val="18"/>
        <w:szCs w:val="18"/>
      </w:rPr>
      <w:t xml:space="preserve">: </w:t>
    </w:r>
    <w:r>
      <w:rPr>
        <w:rStyle w:val="PageNumber"/>
        <w:rFonts w:ascii="Book Antiqua" w:hAnsi="Book Antiqua"/>
        <w:sz w:val="18"/>
        <w:szCs w:val="18"/>
      </w:rPr>
      <w:t>11 February 2002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22F798A" wp14:editId="3256867D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7A6321">
      <w:rPr>
        <w:rFonts w:ascii="Book Antiqua" w:hAnsi="Book Antiqua" w:cs="Tahoma"/>
        <w:b/>
        <w:noProof/>
        <w:sz w:val="28"/>
        <w:szCs w:val="28"/>
        <w:lang w:val="en-US"/>
      </w:rPr>
      <w:t>Code Red Day High Risk Participants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86659"/>
    <w:rsid w:val="000C4CC3"/>
    <w:rsid w:val="001B09C5"/>
    <w:rsid w:val="0034083D"/>
    <w:rsid w:val="00441FDE"/>
    <w:rsid w:val="00483BFD"/>
    <w:rsid w:val="00523E61"/>
    <w:rsid w:val="00547EBD"/>
    <w:rsid w:val="00564200"/>
    <w:rsid w:val="00650944"/>
    <w:rsid w:val="006E3086"/>
    <w:rsid w:val="007A6321"/>
    <w:rsid w:val="008D57A3"/>
    <w:rsid w:val="00961840"/>
    <w:rsid w:val="009D531B"/>
    <w:rsid w:val="00AD059F"/>
    <w:rsid w:val="00CA7C1A"/>
    <w:rsid w:val="00CC6A1C"/>
    <w:rsid w:val="00CE24DC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39"/>
    <w:rsid w:val="00CE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39"/>
    <w:rsid w:val="00CE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4</cp:revision>
  <cp:lastPrinted>2020-02-11T04:18:00Z</cp:lastPrinted>
  <dcterms:created xsi:type="dcterms:W3CDTF">2020-02-11T03:57:00Z</dcterms:created>
  <dcterms:modified xsi:type="dcterms:W3CDTF">2020-02-11T04:18:00Z</dcterms:modified>
</cp:coreProperties>
</file>